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BF" w:firstRow="1" w:lastRow="0" w:firstColumn="1" w:lastColumn="0" w:noHBand="0" w:noVBand="0"/>
      </w:tblPr>
      <w:tblGrid>
        <w:gridCol w:w="4947"/>
        <w:gridCol w:w="4976"/>
      </w:tblGrid>
      <w:tr w:rsidR="003755E7" w:rsidRPr="00FE3F0E" w14:paraId="1F860B13" w14:textId="77777777" w:rsidTr="002521EC">
        <w:trPr>
          <w:trHeight w:val="2843"/>
        </w:trPr>
        <w:tc>
          <w:tcPr>
            <w:tcW w:w="5070" w:type="dxa"/>
            <w:shd w:val="clear" w:color="auto" w:fill="auto"/>
            <w:vAlign w:val="center"/>
          </w:tcPr>
          <w:p w14:paraId="22E82E64" w14:textId="77777777" w:rsidR="003755E7" w:rsidRPr="00FE3F0E" w:rsidRDefault="003755E7" w:rsidP="00905115">
            <w:pPr>
              <w:rPr>
                <w:rFonts w:ascii="Trebuchet MS" w:hAnsi="Trebuchet MS"/>
                <w:sz w:val="24"/>
                <w:szCs w:val="22"/>
              </w:rPr>
            </w:pPr>
          </w:p>
        </w:tc>
        <w:tc>
          <w:tcPr>
            <w:tcW w:w="5070" w:type="dxa"/>
            <w:shd w:val="clear" w:color="auto" w:fill="auto"/>
            <w:vAlign w:val="center"/>
          </w:tcPr>
          <w:p w14:paraId="40486B20" w14:textId="77777777" w:rsidR="003755E7" w:rsidRPr="00FE3F0E" w:rsidRDefault="003755E7" w:rsidP="00042C1D">
            <w:pPr>
              <w:jc w:val="right"/>
              <w:rPr>
                <w:rFonts w:ascii="Trebuchet MS" w:hAnsi="Trebuchet MS"/>
                <w:b/>
                <w:bCs/>
                <w:color w:val="3366FF"/>
                <w:spacing w:val="1"/>
                <w:sz w:val="24"/>
                <w:szCs w:val="22"/>
              </w:rPr>
            </w:pPr>
            <w:r w:rsidRPr="00FE3F0E">
              <w:rPr>
                <w:rFonts w:ascii="Trebuchet MS" w:hAnsi="Trebuchet MS"/>
                <w:b/>
                <w:bCs/>
                <w:color w:val="3366FF"/>
                <w:spacing w:val="1"/>
                <w:sz w:val="24"/>
                <w:szCs w:val="22"/>
              </w:rPr>
              <w:t xml:space="preserve"> </w:t>
            </w:r>
          </w:p>
          <w:p w14:paraId="35427854" w14:textId="77777777" w:rsidR="009132E1" w:rsidRPr="00FE3F0E" w:rsidRDefault="009132E1" w:rsidP="00042C1D">
            <w:pPr>
              <w:jc w:val="right"/>
              <w:rPr>
                <w:rFonts w:ascii="Trebuchet MS" w:hAnsi="Trebuchet MS"/>
                <w:b/>
                <w:bCs/>
                <w:color w:val="000080"/>
                <w:spacing w:val="1"/>
                <w:sz w:val="24"/>
                <w:szCs w:val="22"/>
              </w:rPr>
            </w:pPr>
          </w:p>
          <w:p w14:paraId="520EEFDA" w14:textId="77777777" w:rsidR="009132E1" w:rsidRPr="00FE3F0E" w:rsidRDefault="009132E1" w:rsidP="00042C1D">
            <w:pPr>
              <w:jc w:val="right"/>
              <w:rPr>
                <w:rFonts w:ascii="Trebuchet MS" w:hAnsi="Trebuchet MS"/>
                <w:b/>
                <w:bCs/>
                <w:color w:val="000080"/>
                <w:spacing w:val="1"/>
                <w:sz w:val="24"/>
                <w:szCs w:val="22"/>
              </w:rPr>
            </w:pPr>
          </w:p>
          <w:p w14:paraId="22146706" w14:textId="77777777" w:rsidR="009132E1" w:rsidRPr="00FE3F0E" w:rsidRDefault="009132E1" w:rsidP="00042C1D">
            <w:pPr>
              <w:jc w:val="right"/>
              <w:rPr>
                <w:rFonts w:ascii="Trebuchet MS" w:hAnsi="Trebuchet MS"/>
                <w:b/>
                <w:bCs/>
                <w:color w:val="000080"/>
                <w:spacing w:val="1"/>
                <w:sz w:val="24"/>
                <w:szCs w:val="22"/>
              </w:rPr>
            </w:pPr>
          </w:p>
          <w:p w14:paraId="03C10915" w14:textId="77777777" w:rsidR="003755E7" w:rsidRPr="00FE3F0E" w:rsidRDefault="00F10409" w:rsidP="00700FF4">
            <w:pPr>
              <w:jc w:val="right"/>
              <w:rPr>
                <w:rFonts w:ascii="Trebuchet MS" w:hAnsi="Trebuchet MS"/>
                <w:color w:val="FFFFFF"/>
                <w:sz w:val="24"/>
                <w:szCs w:val="22"/>
              </w:rPr>
            </w:pPr>
            <w:r w:rsidRPr="00F10409">
              <w:rPr>
                <w:rFonts w:ascii="Trebuchet MS" w:hAnsi="Trebuchet MS"/>
                <w:b/>
                <w:bCs/>
                <w:color w:val="993366"/>
                <w:spacing w:val="1"/>
                <w:sz w:val="24"/>
                <w:szCs w:val="22"/>
              </w:rPr>
              <w:t>DBS: Checklist for Recruiters</w:t>
            </w:r>
          </w:p>
        </w:tc>
      </w:tr>
    </w:tbl>
    <w:p w14:paraId="7463A454" w14:textId="77777777" w:rsidR="00CF6969" w:rsidRPr="00FE3F0E" w:rsidRDefault="00CF6969" w:rsidP="00905115">
      <w:pPr>
        <w:jc w:val="right"/>
        <w:rPr>
          <w:rFonts w:ascii="Trebuchet MS" w:hAnsi="Trebuchet MS"/>
          <w:sz w:val="22"/>
          <w:szCs w:val="22"/>
        </w:rPr>
      </w:pPr>
    </w:p>
    <w:p w14:paraId="2DA40ED9" w14:textId="77777777" w:rsidR="003755E7" w:rsidRPr="00FE3F0E" w:rsidRDefault="003755E7" w:rsidP="00905115">
      <w:pPr>
        <w:jc w:val="right"/>
        <w:rPr>
          <w:rFonts w:ascii="Trebuchet MS" w:hAnsi="Trebuchet MS"/>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140"/>
      </w:tblGrid>
      <w:tr w:rsidR="00CF6969" w:rsidRPr="00FE3F0E" w14:paraId="451E91DA" w14:textId="77777777" w:rsidTr="00042C1D">
        <w:tc>
          <w:tcPr>
            <w:tcW w:w="10140" w:type="dxa"/>
            <w:shd w:val="clear" w:color="auto" w:fill="auto"/>
          </w:tcPr>
          <w:p w14:paraId="09DA56B4" w14:textId="77777777" w:rsidR="00F10409" w:rsidRPr="00F10409" w:rsidRDefault="00F10409" w:rsidP="00F10409">
            <w:pPr>
              <w:shd w:val="clear" w:color="auto" w:fill="FFFFFF"/>
              <w:spacing w:before="200" w:after="200"/>
              <w:ind w:left="53" w:right="499"/>
              <w:rPr>
                <w:rFonts w:ascii="Trebuchet MS" w:hAnsi="Trebuchet MS"/>
                <w:b/>
                <w:bCs/>
                <w:color w:val="000000"/>
                <w:spacing w:val="2"/>
                <w:sz w:val="22"/>
                <w:szCs w:val="22"/>
              </w:rPr>
            </w:pPr>
            <w:r w:rsidRPr="00F10409">
              <w:rPr>
                <w:rFonts w:ascii="Trebuchet MS" w:hAnsi="Trebuchet MS"/>
                <w:b/>
                <w:bCs/>
                <w:color w:val="000000"/>
                <w:spacing w:val="2"/>
                <w:sz w:val="22"/>
                <w:szCs w:val="22"/>
              </w:rPr>
              <w:t>New rules on DBS filtering came into effect on 28</w:t>
            </w:r>
            <w:r w:rsidRPr="00011FE9">
              <w:rPr>
                <w:rFonts w:ascii="Trebuchet MS" w:hAnsi="Trebuchet MS"/>
                <w:b/>
                <w:bCs/>
                <w:color w:val="000000"/>
                <w:spacing w:val="2"/>
                <w:sz w:val="22"/>
                <w:szCs w:val="22"/>
                <w:vertAlign w:val="superscript"/>
              </w:rPr>
              <w:t>th</w:t>
            </w:r>
            <w:r w:rsidR="00011FE9">
              <w:rPr>
                <w:rFonts w:ascii="Trebuchet MS" w:hAnsi="Trebuchet MS"/>
                <w:b/>
                <w:bCs/>
                <w:color w:val="000000"/>
                <w:spacing w:val="2"/>
                <w:sz w:val="22"/>
                <w:szCs w:val="22"/>
              </w:rPr>
              <w:t> </w:t>
            </w:r>
            <w:r w:rsidRPr="00F10409">
              <w:rPr>
                <w:rFonts w:ascii="Trebuchet MS" w:hAnsi="Trebuchet MS"/>
                <w:b/>
                <w:bCs/>
                <w:color w:val="000000"/>
                <w:spacing w:val="2"/>
                <w:sz w:val="22"/>
                <w:szCs w:val="22"/>
              </w:rPr>
              <w:t>November 2020 resulting in youth cautions, warnings and reprimands no longer being disclosed automatically on a Standard or Enhanced DBS certificate.</w:t>
            </w:r>
          </w:p>
          <w:p w14:paraId="183CEFE4" w14:textId="77777777" w:rsidR="00F10409" w:rsidRPr="00F10409" w:rsidRDefault="00F10409" w:rsidP="00F10409">
            <w:pPr>
              <w:shd w:val="clear" w:color="auto" w:fill="FFFFFF"/>
              <w:spacing w:before="200" w:after="200"/>
              <w:ind w:left="53" w:right="499"/>
              <w:rPr>
                <w:rFonts w:ascii="Trebuchet MS" w:hAnsi="Trebuchet MS"/>
                <w:b/>
                <w:bCs/>
                <w:color w:val="000000"/>
                <w:spacing w:val="2"/>
                <w:sz w:val="22"/>
                <w:szCs w:val="22"/>
              </w:rPr>
            </w:pPr>
            <w:r w:rsidRPr="00F10409">
              <w:rPr>
                <w:rFonts w:ascii="Trebuchet MS" w:hAnsi="Trebuchet MS"/>
                <w:b/>
                <w:bCs/>
                <w:color w:val="000000"/>
                <w:spacing w:val="2"/>
                <w:sz w:val="22"/>
                <w:szCs w:val="22"/>
              </w:rPr>
              <w:t xml:space="preserve">Other offences such as those on the specified offences list from DBS will always be disclosed in addition to all convictions resulting in a custodial sentence, </w:t>
            </w:r>
            <w:proofErr w:type="gramStart"/>
            <w:r w:rsidRPr="00F10409">
              <w:rPr>
                <w:rFonts w:ascii="Trebuchet MS" w:hAnsi="Trebuchet MS"/>
                <w:b/>
                <w:bCs/>
                <w:color w:val="000000"/>
                <w:spacing w:val="2"/>
                <w:sz w:val="22"/>
                <w:szCs w:val="22"/>
              </w:rPr>
              <w:t>whether or not</w:t>
            </w:r>
            <w:proofErr w:type="gramEnd"/>
            <w:r w:rsidRPr="00F10409">
              <w:rPr>
                <w:rFonts w:ascii="Trebuchet MS" w:hAnsi="Trebuchet MS"/>
                <w:b/>
                <w:bCs/>
                <w:color w:val="000000"/>
                <w:spacing w:val="2"/>
                <w:sz w:val="22"/>
                <w:szCs w:val="22"/>
              </w:rPr>
              <w:t xml:space="preserve"> they were suspended.</w:t>
            </w:r>
          </w:p>
          <w:p w14:paraId="74CBAFA7" w14:textId="77777777" w:rsidR="00CF6969" w:rsidRPr="00FE3F0E" w:rsidRDefault="00F10409" w:rsidP="00F10409">
            <w:pPr>
              <w:shd w:val="clear" w:color="auto" w:fill="FFFFFF"/>
              <w:spacing w:before="200" w:after="200"/>
              <w:ind w:left="53" w:right="499"/>
              <w:rPr>
                <w:rFonts w:ascii="Trebuchet MS" w:hAnsi="Trebuchet MS"/>
                <w:sz w:val="22"/>
                <w:szCs w:val="22"/>
              </w:rPr>
            </w:pPr>
            <w:r w:rsidRPr="00F10409">
              <w:rPr>
                <w:rFonts w:ascii="Trebuchet MS" w:hAnsi="Trebuchet MS"/>
                <w:b/>
                <w:bCs/>
                <w:color w:val="000000"/>
                <w:spacing w:val="2"/>
                <w:sz w:val="22"/>
                <w:szCs w:val="22"/>
              </w:rPr>
              <w:t>Below is some guidance for recruiters on the steps that you need to take to ensure that you comply with the changes.</w:t>
            </w:r>
            <w:r>
              <w:rPr>
                <w:rFonts w:ascii="Trebuchet MS" w:hAnsi="Trebuchet MS"/>
                <w:b/>
                <w:bCs/>
                <w:color w:val="000000"/>
                <w:spacing w:val="2"/>
                <w:sz w:val="22"/>
                <w:szCs w:val="22"/>
              </w:rPr>
              <w:t xml:space="preserve"> </w:t>
            </w:r>
          </w:p>
        </w:tc>
      </w:tr>
      <w:tr w:rsidR="002F4D9B" w:rsidRPr="00FE3F0E" w14:paraId="4367BDAA" w14:textId="77777777" w:rsidTr="00D52910">
        <w:tc>
          <w:tcPr>
            <w:tcW w:w="10140" w:type="dxa"/>
            <w:shd w:val="clear" w:color="auto" w:fill="993366"/>
          </w:tcPr>
          <w:p w14:paraId="40CE3F86" w14:textId="77777777" w:rsidR="002F4D9B" w:rsidRPr="00FE3F0E" w:rsidRDefault="00011FE9" w:rsidP="00042C1D">
            <w:pPr>
              <w:spacing w:before="200" w:after="200"/>
              <w:ind w:right="-75"/>
              <w:rPr>
                <w:rFonts w:ascii="Trebuchet MS" w:hAnsi="Trebuchet MS"/>
                <w:b/>
                <w:color w:val="FFFFFF"/>
                <w:spacing w:val="2"/>
                <w:sz w:val="22"/>
                <w:szCs w:val="22"/>
              </w:rPr>
            </w:pPr>
            <w:r w:rsidRPr="00011FE9">
              <w:rPr>
                <w:rFonts w:ascii="Trebuchet MS" w:hAnsi="Trebuchet MS"/>
                <w:b/>
                <w:color w:val="FFFFFF"/>
                <w:spacing w:val="2"/>
                <w:sz w:val="22"/>
                <w:szCs w:val="22"/>
              </w:rPr>
              <w:t>ADVERT</w:t>
            </w:r>
          </w:p>
        </w:tc>
      </w:tr>
      <w:tr w:rsidR="00011FE9" w:rsidRPr="00FE3F0E" w14:paraId="45843577" w14:textId="77777777" w:rsidTr="00F11924">
        <w:tc>
          <w:tcPr>
            <w:tcW w:w="10140" w:type="dxa"/>
            <w:shd w:val="clear" w:color="auto" w:fill="auto"/>
          </w:tcPr>
          <w:p w14:paraId="7DE3EF42" w14:textId="77777777" w:rsidR="00011FE9" w:rsidRPr="00011FE9" w:rsidRDefault="00011FE9" w:rsidP="00011FE9">
            <w:pPr>
              <w:spacing w:before="120" w:after="120"/>
              <w:ind w:right="-74"/>
              <w:rPr>
                <w:rFonts w:ascii="Trebuchet MS" w:hAnsi="Trebuchet MS"/>
                <w:color w:val="000000"/>
                <w:spacing w:val="1"/>
                <w:sz w:val="22"/>
                <w:szCs w:val="22"/>
              </w:rPr>
            </w:pPr>
            <w:r w:rsidRPr="00011FE9">
              <w:rPr>
                <w:rFonts w:ascii="Trebuchet MS" w:hAnsi="Trebuchet MS"/>
                <w:color w:val="000000"/>
                <w:spacing w:val="1"/>
                <w:sz w:val="22"/>
                <w:szCs w:val="22"/>
              </w:rPr>
              <w:t xml:space="preserve">Your advert should contain a statement in relation to successful </w:t>
            </w:r>
            <w:r w:rsidR="00317594">
              <w:rPr>
                <w:rFonts w:ascii="Trebuchet MS" w:hAnsi="Trebuchet MS"/>
                <w:color w:val="000000"/>
                <w:spacing w:val="1"/>
                <w:sz w:val="22"/>
                <w:szCs w:val="22"/>
              </w:rPr>
              <w:t>candidates</w:t>
            </w:r>
            <w:r w:rsidRPr="00011FE9">
              <w:rPr>
                <w:rFonts w:ascii="Trebuchet MS" w:hAnsi="Trebuchet MS"/>
                <w:color w:val="000000"/>
                <w:spacing w:val="1"/>
                <w:sz w:val="22"/>
                <w:szCs w:val="22"/>
              </w:rPr>
              <w:t xml:space="preserve"> having to undertake an enhance DBS check.</w:t>
            </w:r>
          </w:p>
          <w:p w14:paraId="2C5EA247" w14:textId="77777777" w:rsidR="00011FE9" w:rsidRPr="00FE3F0E" w:rsidRDefault="00011FE9" w:rsidP="00011FE9">
            <w:pPr>
              <w:spacing w:before="120" w:after="120"/>
              <w:ind w:right="-74"/>
              <w:rPr>
                <w:rFonts w:ascii="Trebuchet MS" w:hAnsi="Trebuchet MS"/>
                <w:color w:val="000000"/>
                <w:spacing w:val="-5"/>
                <w:sz w:val="22"/>
                <w:szCs w:val="22"/>
              </w:rPr>
            </w:pPr>
            <w:r w:rsidRPr="00011FE9">
              <w:rPr>
                <w:rFonts w:ascii="Trebuchet MS" w:hAnsi="Trebuchet MS"/>
                <w:color w:val="000000"/>
                <w:spacing w:val="1"/>
                <w:sz w:val="22"/>
                <w:szCs w:val="22"/>
              </w:rPr>
              <w:t>Our advice is that you keep this as a very brief statement in line with the above and do not go into further detail about what is required in terms of conviction/caution/disclosure.</w:t>
            </w:r>
            <w:r w:rsidRPr="00FE3F0E">
              <w:rPr>
                <w:rFonts w:ascii="Trebuchet MS" w:hAnsi="Trebuchet MS"/>
                <w:color w:val="000000"/>
                <w:spacing w:val="-5"/>
                <w:sz w:val="22"/>
                <w:szCs w:val="22"/>
              </w:rPr>
              <w:t xml:space="preserve"> </w:t>
            </w:r>
          </w:p>
        </w:tc>
      </w:tr>
      <w:tr w:rsidR="009132E1" w:rsidRPr="00FE3F0E" w14:paraId="3DE156ED" w14:textId="77777777" w:rsidTr="00D52910">
        <w:tc>
          <w:tcPr>
            <w:tcW w:w="10140" w:type="dxa"/>
            <w:shd w:val="clear" w:color="auto" w:fill="993366"/>
          </w:tcPr>
          <w:p w14:paraId="7C03EE7E" w14:textId="77777777" w:rsidR="009132E1" w:rsidRPr="00FE3F0E" w:rsidRDefault="00011FE9" w:rsidP="00042C1D">
            <w:pPr>
              <w:spacing w:before="200" w:after="200"/>
              <w:ind w:right="-75"/>
              <w:rPr>
                <w:rFonts w:ascii="Trebuchet MS" w:hAnsi="Trebuchet MS"/>
                <w:b/>
                <w:color w:val="FFFFFF"/>
                <w:spacing w:val="2"/>
                <w:sz w:val="22"/>
                <w:szCs w:val="22"/>
              </w:rPr>
            </w:pPr>
            <w:r w:rsidRPr="00011FE9">
              <w:rPr>
                <w:rFonts w:ascii="Trebuchet MS" w:hAnsi="Trebuchet MS"/>
                <w:b/>
                <w:color w:val="FFFFFF"/>
                <w:spacing w:val="2"/>
                <w:sz w:val="22"/>
                <w:szCs w:val="22"/>
              </w:rPr>
              <w:t>APPLICATION FORM</w:t>
            </w:r>
          </w:p>
        </w:tc>
      </w:tr>
      <w:tr w:rsidR="00011FE9" w:rsidRPr="00FE3F0E" w14:paraId="7A8B2E20" w14:textId="77777777" w:rsidTr="00F11924">
        <w:tc>
          <w:tcPr>
            <w:tcW w:w="10140" w:type="dxa"/>
            <w:shd w:val="clear" w:color="auto" w:fill="auto"/>
          </w:tcPr>
          <w:p w14:paraId="08D0A562" w14:textId="77777777" w:rsidR="00011FE9" w:rsidRPr="00D97FBA" w:rsidRDefault="00011FE9" w:rsidP="00D97FBA">
            <w:pPr>
              <w:spacing w:before="120" w:after="120"/>
              <w:rPr>
                <w:rFonts w:ascii="Trebuchet MS" w:hAnsi="Trebuchet MS" w:cs="Calibri"/>
                <w:color w:val="000000"/>
                <w:spacing w:val="-1"/>
                <w:sz w:val="22"/>
                <w:szCs w:val="22"/>
              </w:rPr>
            </w:pPr>
            <w:r w:rsidRPr="00011FE9">
              <w:rPr>
                <w:rFonts w:ascii="Trebuchet MS" w:hAnsi="Trebuchet MS"/>
                <w:color w:val="000000"/>
                <w:spacing w:val="-1"/>
                <w:sz w:val="22"/>
                <w:szCs w:val="22"/>
              </w:rPr>
              <w:t xml:space="preserve">We recommend that your application form does not include a requirement for </w:t>
            </w:r>
            <w:r w:rsidR="00317594">
              <w:rPr>
                <w:rFonts w:ascii="Trebuchet MS" w:hAnsi="Trebuchet MS"/>
                <w:color w:val="000000"/>
                <w:spacing w:val="-1"/>
                <w:sz w:val="22"/>
                <w:szCs w:val="22"/>
              </w:rPr>
              <w:t xml:space="preserve">candidates </w:t>
            </w:r>
            <w:r w:rsidRPr="00011FE9">
              <w:rPr>
                <w:rFonts w:ascii="Trebuchet MS" w:hAnsi="Trebuchet MS"/>
                <w:color w:val="000000"/>
                <w:spacing w:val="-1"/>
                <w:sz w:val="22"/>
                <w:szCs w:val="22"/>
              </w:rPr>
              <w:t>to disclose information about criminal records. The Data Protection Act 2018 and the UK GDPR expect you to only obtain (process) information that you need, when you need it.</w:t>
            </w:r>
            <w:r w:rsidR="00D97FBA">
              <w:rPr>
                <w:color w:val="000000"/>
                <w:spacing w:val="-1"/>
                <w:sz w:val="22"/>
                <w:szCs w:val="22"/>
              </w:rPr>
              <w:t xml:space="preserve"> </w:t>
            </w:r>
            <w:r w:rsidR="00D97FBA" w:rsidRPr="00D97FBA">
              <w:rPr>
                <w:rFonts w:ascii="Trebuchet MS" w:hAnsi="Trebuchet MS"/>
                <w:color w:val="000000"/>
                <w:spacing w:val="-1"/>
              </w:rPr>
              <w:t>Conviction information should be obtained at or after interview.</w:t>
            </w:r>
          </w:p>
          <w:p w14:paraId="47654790" w14:textId="77777777" w:rsidR="00011FE9" w:rsidRPr="00011FE9" w:rsidRDefault="00011FE9" w:rsidP="00011FE9">
            <w:pPr>
              <w:spacing w:before="120" w:after="120"/>
              <w:ind w:right="-74"/>
              <w:rPr>
                <w:rFonts w:ascii="Trebuchet MS" w:hAnsi="Trebuchet MS"/>
                <w:color w:val="000000"/>
                <w:spacing w:val="-1"/>
                <w:sz w:val="22"/>
                <w:szCs w:val="22"/>
              </w:rPr>
            </w:pPr>
            <w:r w:rsidRPr="00011FE9">
              <w:rPr>
                <w:rFonts w:ascii="Trebuchet MS" w:hAnsi="Trebuchet MS"/>
                <w:color w:val="000000"/>
                <w:spacing w:val="-1"/>
                <w:sz w:val="22"/>
                <w:szCs w:val="22"/>
              </w:rPr>
              <w:t xml:space="preserve">Your application form should include the statement about disclosing convictions: </w:t>
            </w:r>
          </w:p>
          <w:p w14:paraId="13774A8A" w14:textId="77777777" w:rsidR="00011FE9" w:rsidRPr="00011FE9" w:rsidRDefault="00011FE9" w:rsidP="00011FE9">
            <w:pPr>
              <w:spacing w:before="120" w:after="120"/>
              <w:ind w:right="-74"/>
              <w:rPr>
                <w:rFonts w:ascii="Trebuchet MS" w:hAnsi="Trebuchet MS"/>
                <w:i/>
                <w:iCs/>
                <w:color w:val="000000"/>
                <w:spacing w:val="-1"/>
                <w:sz w:val="22"/>
                <w:szCs w:val="22"/>
              </w:rPr>
            </w:pPr>
            <w:r w:rsidRPr="00011FE9">
              <w:rPr>
                <w:rFonts w:ascii="Trebuchet MS" w:hAnsi="Trebuchet MS"/>
                <w:i/>
                <w:iCs/>
                <w:color w:val="000000"/>
                <w:spacing w:val="-1"/>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CD7F5A">
              <w:rPr>
                <w:rFonts w:ascii="Trebuchet MS" w:hAnsi="Trebuchet MS"/>
                <w:i/>
                <w:iCs/>
                <w:color w:val="000000"/>
                <w:spacing w:val="-1"/>
                <w:sz w:val="22"/>
                <w:szCs w:val="22"/>
              </w:rPr>
              <w:t xml:space="preserve"> </w:t>
            </w:r>
            <w:r w:rsidRPr="00011FE9">
              <w:rPr>
                <w:rFonts w:ascii="Trebuchet MS" w:hAnsi="Trebuchet MS"/>
                <w:i/>
                <w:iCs/>
                <w:color w:val="000000"/>
                <w:spacing w:val="-1"/>
                <w:sz w:val="22"/>
                <w:szCs w:val="22"/>
              </w:rPr>
              <w:t xml:space="preserve">Guidance about whether a conviction or caution should be disclosed can be found on the Ministry of Justice website. </w:t>
            </w:r>
          </w:p>
          <w:p w14:paraId="627340D6" w14:textId="77777777" w:rsidR="00011FE9" w:rsidRPr="00FE3F0E" w:rsidRDefault="00011FE9" w:rsidP="00011FE9">
            <w:pPr>
              <w:spacing w:before="120" w:after="120"/>
              <w:ind w:right="-74"/>
              <w:rPr>
                <w:rFonts w:ascii="Trebuchet MS" w:hAnsi="Trebuchet MS"/>
                <w:color w:val="000000"/>
                <w:sz w:val="22"/>
                <w:szCs w:val="22"/>
              </w:rPr>
            </w:pPr>
            <w:hyperlink r:id="rId8" w:history="1">
              <w:r w:rsidRPr="006140A3">
                <w:rPr>
                  <w:rStyle w:val="Hyperlink"/>
                  <w:rFonts w:ascii="Trebuchet MS" w:hAnsi="Trebuchet MS"/>
                  <w:spacing w:val="-1"/>
                  <w:sz w:val="22"/>
                  <w:szCs w:val="22"/>
                </w:rPr>
                <w:t>https://www.gov.uk/government/publications/new-guidance-on-the-rehabilitation-of-offenders-act-1974</w:t>
              </w:r>
            </w:hyperlink>
            <w:r w:rsidR="00CD7F5A">
              <w:rPr>
                <w:rFonts w:ascii="Trebuchet MS" w:hAnsi="Trebuchet MS"/>
                <w:color w:val="000000"/>
                <w:spacing w:val="-1"/>
                <w:sz w:val="22"/>
                <w:szCs w:val="22"/>
              </w:rPr>
              <w:t>.</w:t>
            </w:r>
            <w:r>
              <w:rPr>
                <w:rFonts w:ascii="Trebuchet MS" w:hAnsi="Trebuchet MS"/>
                <w:color w:val="000000"/>
                <w:spacing w:val="-1"/>
                <w:sz w:val="22"/>
                <w:szCs w:val="22"/>
              </w:rPr>
              <w:t xml:space="preserve"> </w:t>
            </w:r>
          </w:p>
        </w:tc>
      </w:tr>
      <w:tr w:rsidR="009132E1" w:rsidRPr="00FE3F0E" w14:paraId="5ECBD625" w14:textId="77777777" w:rsidTr="00D52910">
        <w:tc>
          <w:tcPr>
            <w:tcW w:w="10140" w:type="dxa"/>
            <w:shd w:val="clear" w:color="auto" w:fill="993366"/>
          </w:tcPr>
          <w:p w14:paraId="48758067" w14:textId="77777777" w:rsidR="009132E1" w:rsidRPr="00FE3F0E" w:rsidRDefault="009132E1"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br w:type="page"/>
            </w:r>
            <w:r w:rsidR="00011FE9" w:rsidRPr="00011FE9">
              <w:rPr>
                <w:rFonts w:ascii="Trebuchet MS" w:hAnsi="Trebuchet MS"/>
                <w:b/>
                <w:color w:val="FFFFFF"/>
                <w:spacing w:val="2"/>
                <w:sz w:val="22"/>
                <w:szCs w:val="22"/>
              </w:rPr>
              <w:t>INTERVIEW</w:t>
            </w:r>
          </w:p>
        </w:tc>
      </w:tr>
      <w:tr w:rsidR="009132E1" w:rsidRPr="00FE3F0E" w14:paraId="2D540BBC" w14:textId="77777777" w:rsidTr="00042C1D">
        <w:tc>
          <w:tcPr>
            <w:tcW w:w="10140" w:type="dxa"/>
            <w:shd w:val="clear" w:color="auto" w:fill="auto"/>
          </w:tcPr>
          <w:p w14:paraId="4CE32467" w14:textId="77777777" w:rsidR="00CD7F5A" w:rsidRDefault="00011FE9" w:rsidP="00011FE9">
            <w:pPr>
              <w:spacing w:before="200" w:after="200"/>
              <w:ind w:right="-75"/>
              <w:rPr>
                <w:rFonts w:ascii="Trebuchet MS" w:hAnsi="Trebuchet MS"/>
                <w:color w:val="000000"/>
                <w:sz w:val="22"/>
                <w:szCs w:val="22"/>
              </w:rPr>
            </w:pPr>
            <w:r w:rsidRPr="00011FE9">
              <w:rPr>
                <w:rFonts w:ascii="Trebuchet MS" w:hAnsi="Trebuchet MS"/>
                <w:color w:val="000000"/>
                <w:sz w:val="22"/>
                <w:szCs w:val="22"/>
              </w:rPr>
              <w:t xml:space="preserve">It is correct for you to ask for criminal record information during the interview process. Transparency and honesty play a key role in a school setting and to establish this at the point where </w:t>
            </w:r>
            <w:r w:rsidRPr="00011FE9">
              <w:rPr>
                <w:rFonts w:ascii="Trebuchet MS" w:hAnsi="Trebuchet MS"/>
                <w:color w:val="000000"/>
                <w:sz w:val="22"/>
                <w:szCs w:val="22"/>
              </w:rPr>
              <w:lastRenderedPageBreak/>
              <w:t>the candidate/employer first meet (at interview) is good practice and in line with expectations under the Data Protection Act 2018 and UK GDPR.</w:t>
            </w:r>
            <w:r w:rsidR="00CD7F5A">
              <w:rPr>
                <w:rFonts w:ascii="Trebuchet MS" w:hAnsi="Trebuchet MS"/>
                <w:color w:val="000000"/>
                <w:sz w:val="22"/>
                <w:szCs w:val="22"/>
              </w:rPr>
              <w:t xml:space="preserve"> </w:t>
            </w:r>
            <w:r w:rsidRPr="00011FE9">
              <w:rPr>
                <w:rFonts w:ascii="Trebuchet MS" w:hAnsi="Trebuchet MS"/>
                <w:color w:val="000000"/>
                <w:sz w:val="22"/>
                <w:szCs w:val="22"/>
              </w:rPr>
              <w:t xml:space="preserve">Safeguarding in a school setting generally and safer recruitment checks should also be discussed. </w:t>
            </w:r>
          </w:p>
          <w:p w14:paraId="40F870E3" w14:textId="77777777" w:rsidR="00011FE9" w:rsidRPr="00011FE9" w:rsidRDefault="00011FE9" w:rsidP="00011FE9">
            <w:pPr>
              <w:spacing w:before="200" w:after="200"/>
              <w:ind w:right="-75"/>
              <w:rPr>
                <w:rFonts w:ascii="Trebuchet MS" w:hAnsi="Trebuchet MS"/>
                <w:color w:val="000000"/>
                <w:sz w:val="22"/>
                <w:szCs w:val="22"/>
              </w:rPr>
            </w:pPr>
            <w:r w:rsidRPr="00011FE9">
              <w:rPr>
                <w:rFonts w:ascii="Trebuchet MS" w:hAnsi="Trebuchet MS"/>
                <w:color w:val="000000"/>
                <w:sz w:val="22"/>
                <w:szCs w:val="22"/>
              </w:rPr>
              <w:t>To ensure you only seek information to which you are entitled, we advise you limit your conviction questions to:</w:t>
            </w:r>
          </w:p>
          <w:p w14:paraId="160F9CC5" w14:textId="77777777" w:rsidR="00011FE9" w:rsidRPr="00011FE9" w:rsidRDefault="00011FE9" w:rsidP="00011FE9">
            <w:pPr>
              <w:spacing w:before="200" w:after="200"/>
              <w:ind w:right="-75"/>
              <w:rPr>
                <w:rFonts w:ascii="Trebuchet MS" w:hAnsi="Trebuchet MS"/>
                <w:color w:val="000000"/>
                <w:sz w:val="22"/>
                <w:szCs w:val="22"/>
              </w:rPr>
            </w:pPr>
            <w:r w:rsidRPr="00011FE9">
              <w:rPr>
                <w:rFonts w:ascii="Trebuchet MS" w:hAnsi="Trebuchet MS"/>
                <w:color w:val="000000"/>
                <w:sz w:val="22"/>
                <w:szCs w:val="22"/>
              </w:rPr>
              <w:t>•</w:t>
            </w:r>
            <w:r w:rsidRPr="00011FE9">
              <w:rPr>
                <w:rFonts w:ascii="Trebuchet MS" w:hAnsi="Trebuchet MS"/>
                <w:color w:val="000000"/>
                <w:sz w:val="22"/>
                <w:szCs w:val="22"/>
              </w:rPr>
              <w:tab/>
              <w:t>Do you have any adult cautions (simple or conditional)?</w:t>
            </w:r>
          </w:p>
          <w:p w14:paraId="6FFDDF0C" w14:textId="77777777" w:rsidR="00011FE9" w:rsidRPr="00011FE9" w:rsidRDefault="00011FE9" w:rsidP="00011FE9">
            <w:pPr>
              <w:spacing w:before="200" w:after="200"/>
              <w:ind w:right="-75"/>
              <w:rPr>
                <w:rFonts w:ascii="Trebuchet MS" w:hAnsi="Trebuchet MS"/>
                <w:color w:val="000000"/>
                <w:sz w:val="22"/>
                <w:szCs w:val="22"/>
              </w:rPr>
            </w:pPr>
            <w:r w:rsidRPr="00011FE9">
              <w:rPr>
                <w:rFonts w:ascii="Trebuchet MS" w:hAnsi="Trebuchet MS"/>
                <w:color w:val="000000"/>
                <w:sz w:val="22"/>
                <w:szCs w:val="22"/>
              </w:rPr>
              <w:t>•</w:t>
            </w:r>
            <w:r w:rsidRPr="00011FE9">
              <w:rPr>
                <w:rFonts w:ascii="Trebuchet MS" w:hAnsi="Trebuchet MS"/>
                <w:color w:val="000000"/>
                <w:sz w:val="22"/>
                <w:szCs w:val="22"/>
              </w:rPr>
              <w:tab/>
              <w:t>Do you have any unspent conditional cautions?</w:t>
            </w:r>
          </w:p>
          <w:p w14:paraId="7962B303" w14:textId="77777777" w:rsidR="00011FE9" w:rsidRPr="00011FE9" w:rsidRDefault="00011FE9" w:rsidP="00011FE9">
            <w:pPr>
              <w:spacing w:before="200" w:after="200"/>
              <w:ind w:right="-75"/>
              <w:rPr>
                <w:rFonts w:ascii="Trebuchet MS" w:hAnsi="Trebuchet MS"/>
                <w:color w:val="000000"/>
                <w:sz w:val="22"/>
                <w:szCs w:val="22"/>
              </w:rPr>
            </w:pPr>
            <w:r w:rsidRPr="00011FE9">
              <w:rPr>
                <w:rFonts w:ascii="Trebuchet MS" w:hAnsi="Trebuchet MS"/>
                <w:color w:val="000000"/>
                <w:sz w:val="22"/>
                <w:szCs w:val="22"/>
              </w:rPr>
              <w:t>•</w:t>
            </w:r>
            <w:r w:rsidRPr="00011FE9">
              <w:rPr>
                <w:rFonts w:ascii="Trebuchet MS" w:hAnsi="Trebuchet MS"/>
                <w:color w:val="000000"/>
                <w:sz w:val="22"/>
                <w:szCs w:val="22"/>
              </w:rPr>
              <w:tab/>
              <w:t>Do you have any unspent convictions in a Court of Law?</w:t>
            </w:r>
          </w:p>
          <w:p w14:paraId="5A7A6A68" w14:textId="77777777" w:rsidR="00011FE9" w:rsidRPr="00011FE9" w:rsidRDefault="00011FE9" w:rsidP="00CD7F5A">
            <w:pPr>
              <w:spacing w:before="200" w:after="200"/>
              <w:ind w:left="720" w:right="-75" w:hanging="720"/>
              <w:rPr>
                <w:rFonts w:ascii="Trebuchet MS" w:hAnsi="Trebuchet MS"/>
                <w:color w:val="000000"/>
                <w:sz w:val="22"/>
                <w:szCs w:val="22"/>
              </w:rPr>
            </w:pPr>
            <w:r w:rsidRPr="00011FE9">
              <w:rPr>
                <w:rFonts w:ascii="Trebuchet MS" w:hAnsi="Trebuchet MS"/>
                <w:color w:val="000000"/>
                <w:sz w:val="22"/>
                <w:szCs w:val="22"/>
              </w:rPr>
              <w:t>•</w:t>
            </w:r>
            <w:r w:rsidRPr="00011FE9">
              <w:rPr>
                <w:rFonts w:ascii="Trebuchet MS" w:hAnsi="Trebuchet MS"/>
                <w:color w:val="000000"/>
                <w:sz w:val="22"/>
                <w:szCs w:val="22"/>
              </w:rPr>
              <w:tab/>
              <w:t>Do you have any spent convictions that are not protected as defined by the Rehabilitation of Offenders Act 1974 (Exceptions) Order 1975 (Amendment) (England and Wales) Order 2020</w:t>
            </w:r>
            <w:r w:rsidR="00CD7F5A">
              <w:rPr>
                <w:rFonts w:ascii="Trebuchet MS" w:hAnsi="Trebuchet MS"/>
                <w:color w:val="000000"/>
                <w:sz w:val="22"/>
                <w:szCs w:val="22"/>
              </w:rPr>
              <w:t>?</w:t>
            </w:r>
          </w:p>
          <w:p w14:paraId="2550FC69" w14:textId="77777777" w:rsidR="00011FE9" w:rsidRPr="00011FE9" w:rsidRDefault="00011FE9" w:rsidP="00011FE9">
            <w:pPr>
              <w:spacing w:before="200" w:after="200"/>
              <w:ind w:right="-75"/>
              <w:rPr>
                <w:rFonts w:ascii="Trebuchet MS" w:hAnsi="Trebuchet MS"/>
                <w:color w:val="000000"/>
                <w:sz w:val="22"/>
                <w:szCs w:val="22"/>
              </w:rPr>
            </w:pPr>
            <w:r w:rsidRPr="00011FE9">
              <w:rPr>
                <w:rFonts w:ascii="Trebuchet MS" w:hAnsi="Trebuchet MS"/>
                <w:color w:val="000000"/>
                <w:sz w:val="22"/>
                <w:szCs w:val="22"/>
              </w:rPr>
              <w:t>and remind the candidate of the Ministry of Justice guidance which will assist them in answering those questions.</w:t>
            </w:r>
          </w:p>
          <w:p w14:paraId="2EF01FD0" w14:textId="77777777" w:rsidR="00011FE9" w:rsidRPr="00011FE9" w:rsidRDefault="00011FE9" w:rsidP="00011FE9">
            <w:pPr>
              <w:spacing w:before="200" w:after="200"/>
              <w:ind w:right="-75"/>
              <w:rPr>
                <w:rFonts w:ascii="Trebuchet MS" w:hAnsi="Trebuchet MS"/>
                <w:color w:val="000000"/>
                <w:sz w:val="22"/>
                <w:szCs w:val="22"/>
              </w:rPr>
            </w:pPr>
            <w:r w:rsidRPr="00011FE9">
              <w:rPr>
                <w:rFonts w:ascii="Trebuchet MS" w:hAnsi="Trebuchet MS"/>
                <w:color w:val="000000"/>
                <w:sz w:val="22"/>
                <w:szCs w:val="22"/>
              </w:rPr>
              <w:t xml:space="preserve">Where the </w:t>
            </w:r>
            <w:r w:rsidR="00317594">
              <w:rPr>
                <w:rFonts w:ascii="Trebuchet MS" w:hAnsi="Trebuchet MS"/>
                <w:color w:val="000000"/>
                <w:sz w:val="22"/>
                <w:szCs w:val="22"/>
              </w:rPr>
              <w:t xml:space="preserve">candidate </w:t>
            </w:r>
            <w:r w:rsidRPr="00011FE9">
              <w:rPr>
                <w:rFonts w:ascii="Trebuchet MS" w:hAnsi="Trebuchet MS"/>
                <w:color w:val="000000"/>
                <w:sz w:val="22"/>
                <w:szCs w:val="22"/>
              </w:rPr>
              <w:t>does have conviction information but is unclear whether they are required to disclose it to you, we advise telling the candidate not to share any conviction information at that point and to instead complete your Relevant Convictions Form (see below).</w:t>
            </w:r>
          </w:p>
          <w:p w14:paraId="4D0135F8" w14:textId="77777777" w:rsidR="00011FE9" w:rsidRPr="00011FE9" w:rsidRDefault="00011FE9" w:rsidP="00011FE9">
            <w:pPr>
              <w:spacing w:before="200" w:after="200"/>
              <w:ind w:right="-75"/>
              <w:rPr>
                <w:rFonts w:ascii="Trebuchet MS" w:hAnsi="Trebuchet MS"/>
                <w:color w:val="000000"/>
                <w:sz w:val="22"/>
                <w:szCs w:val="22"/>
              </w:rPr>
            </w:pPr>
            <w:r w:rsidRPr="00011FE9">
              <w:rPr>
                <w:rFonts w:ascii="Trebuchet MS" w:hAnsi="Trebuchet MS"/>
                <w:color w:val="000000"/>
                <w:sz w:val="22"/>
                <w:szCs w:val="22"/>
              </w:rPr>
              <w:t>If the candidate is not successful, their conviction information should be destroyed in accordance with your data retention and destruction policy.</w:t>
            </w:r>
            <w:r w:rsidR="00CD7F5A">
              <w:rPr>
                <w:rFonts w:ascii="Trebuchet MS" w:hAnsi="Trebuchet MS"/>
                <w:color w:val="000000"/>
                <w:sz w:val="22"/>
                <w:szCs w:val="22"/>
              </w:rPr>
              <w:t xml:space="preserve"> </w:t>
            </w:r>
          </w:p>
          <w:p w14:paraId="428048E7" w14:textId="77777777" w:rsidR="00011FE9" w:rsidRPr="00011FE9" w:rsidRDefault="00011FE9" w:rsidP="00011FE9">
            <w:pPr>
              <w:spacing w:before="200" w:after="200"/>
              <w:ind w:right="-75"/>
              <w:rPr>
                <w:rFonts w:ascii="Trebuchet MS" w:hAnsi="Trebuchet MS"/>
                <w:color w:val="000000"/>
                <w:sz w:val="22"/>
                <w:szCs w:val="22"/>
              </w:rPr>
            </w:pPr>
            <w:r w:rsidRPr="00011FE9">
              <w:rPr>
                <w:rFonts w:ascii="Trebuchet MS" w:hAnsi="Trebuchet MS"/>
                <w:color w:val="000000"/>
                <w:sz w:val="22"/>
                <w:szCs w:val="22"/>
              </w:rPr>
              <w:t>If the candidate is successful but the DBS information contradicts what the candidate disclosed to you, then you need to discuss the issue with the candidate.</w:t>
            </w:r>
            <w:r w:rsidR="00CD7F5A">
              <w:rPr>
                <w:rFonts w:ascii="Trebuchet MS" w:hAnsi="Trebuchet MS"/>
                <w:color w:val="000000"/>
                <w:sz w:val="22"/>
                <w:szCs w:val="22"/>
              </w:rPr>
              <w:t xml:space="preserve"> </w:t>
            </w:r>
            <w:r w:rsidRPr="00011FE9">
              <w:rPr>
                <w:rFonts w:ascii="Trebuchet MS" w:hAnsi="Trebuchet MS"/>
                <w:color w:val="000000"/>
                <w:sz w:val="22"/>
                <w:szCs w:val="22"/>
              </w:rPr>
              <w:t>As part of that discussion you should consider whether this was a genuine mistake/misunderstanding of the Ministry of Justice guidance or whether the contradiction brings into question the honesty and integrity of the candidate.</w:t>
            </w:r>
          </w:p>
          <w:p w14:paraId="4E79AFA4" w14:textId="77777777" w:rsidR="009132E1" w:rsidRPr="00FE3F0E" w:rsidRDefault="00011FE9" w:rsidP="00CD7F5A">
            <w:pPr>
              <w:spacing w:before="200" w:after="200"/>
              <w:ind w:right="-75"/>
              <w:rPr>
                <w:rFonts w:ascii="Trebuchet MS" w:hAnsi="Trebuchet MS"/>
                <w:color w:val="000000"/>
                <w:spacing w:val="1"/>
                <w:sz w:val="22"/>
                <w:szCs w:val="22"/>
              </w:rPr>
            </w:pPr>
            <w:r w:rsidRPr="00011FE9">
              <w:rPr>
                <w:rFonts w:ascii="Trebuchet MS" w:hAnsi="Trebuchet MS"/>
                <w:color w:val="000000"/>
                <w:sz w:val="22"/>
                <w:szCs w:val="22"/>
              </w:rPr>
              <w:t>Where you offer a candidate the role before receipt of the DBS certificate, do ensure that the offer is conditional upon receipt of a satisfactory DBS certificate.</w:t>
            </w:r>
          </w:p>
        </w:tc>
      </w:tr>
      <w:tr w:rsidR="002E4522" w:rsidRPr="00FE3F0E" w14:paraId="63755560" w14:textId="77777777" w:rsidTr="00D52910">
        <w:tc>
          <w:tcPr>
            <w:tcW w:w="10140" w:type="dxa"/>
            <w:shd w:val="clear" w:color="auto" w:fill="993366"/>
          </w:tcPr>
          <w:p w14:paraId="0C52E705" w14:textId="77777777" w:rsidR="002E4522" w:rsidRPr="00FE3F0E" w:rsidRDefault="00CD7F5A" w:rsidP="00042C1D">
            <w:pPr>
              <w:spacing w:before="200" w:after="200"/>
              <w:ind w:right="-75"/>
              <w:rPr>
                <w:rFonts w:ascii="Trebuchet MS" w:hAnsi="Trebuchet MS"/>
                <w:b/>
                <w:color w:val="FFFFFF"/>
                <w:spacing w:val="2"/>
                <w:sz w:val="22"/>
                <w:szCs w:val="22"/>
              </w:rPr>
            </w:pPr>
            <w:r w:rsidRPr="00CD7F5A">
              <w:rPr>
                <w:rFonts w:ascii="Trebuchet MS" w:hAnsi="Trebuchet MS"/>
                <w:b/>
                <w:color w:val="FFFFFF"/>
                <w:spacing w:val="2"/>
                <w:sz w:val="22"/>
                <w:szCs w:val="22"/>
              </w:rPr>
              <w:lastRenderedPageBreak/>
              <w:t>RELEVANT CONVICTION FORM</w:t>
            </w:r>
          </w:p>
        </w:tc>
      </w:tr>
      <w:tr w:rsidR="002E4522" w:rsidRPr="00FE3F0E" w14:paraId="6E325A04" w14:textId="77777777" w:rsidTr="00042C1D">
        <w:tc>
          <w:tcPr>
            <w:tcW w:w="10140" w:type="dxa"/>
            <w:shd w:val="clear" w:color="auto" w:fill="auto"/>
          </w:tcPr>
          <w:p w14:paraId="2759244F" w14:textId="77777777" w:rsidR="00CD7F5A" w:rsidRPr="00CD7F5A" w:rsidRDefault="00CD7F5A" w:rsidP="00CD7F5A">
            <w:pPr>
              <w:spacing w:before="200" w:after="200"/>
              <w:ind w:right="-75"/>
              <w:rPr>
                <w:rFonts w:ascii="Trebuchet MS" w:hAnsi="Trebuchet MS"/>
                <w:color w:val="000000"/>
                <w:spacing w:val="-3"/>
                <w:sz w:val="22"/>
                <w:szCs w:val="22"/>
              </w:rPr>
            </w:pPr>
            <w:r w:rsidRPr="00CD7F5A">
              <w:rPr>
                <w:rFonts w:ascii="Trebuchet MS" w:hAnsi="Trebuchet MS"/>
                <w:color w:val="000000"/>
                <w:spacing w:val="-3"/>
                <w:sz w:val="22"/>
                <w:szCs w:val="22"/>
              </w:rPr>
              <w:t>Following interview, any candidate proceeding to the next stage should be asked to complete a ‘Relevant Convictions Form’ which asks them to declare relevant criminal convictions/cautions. This form should be clear about the 2020 DBS filtering changes and signpost the candidate to the Ministry of Justice website (</w:t>
            </w:r>
            <w:hyperlink r:id="rId9" w:history="1">
              <w:r w:rsidRPr="006140A3">
                <w:rPr>
                  <w:rStyle w:val="Hyperlink"/>
                  <w:rFonts w:ascii="Trebuchet MS" w:hAnsi="Trebuchet MS"/>
                  <w:spacing w:val="-3"/>
                  <w:sz w:val="22"/>
                  <w:szCs w:val="22"/>
                </w:rPr>
                <w:t>https://www.gov.uk/government/publications/new-guidance-on-the-rehabilitation-of-offenders-act-1974</w:t>
              </w:r>
            </w:hyperlink>
            <w:r w:rsidRPr="00CD7F5A">
              <w:rPr>
                <w:rFonts w:ascii="Trebuchet MS" w:hAnsi="Trebuchet MS"/>
                <w:color w:val="000000"/>
                <w:spacing w:val="-3"/>
                <w:sz w:val="22"/>
                <w:szCs w:val="22"/>
              </w:rPr>
              <w:t xml:space="preserve">). There is no further obligation to signpost elsewhere. </w:t>
            </w:r>
          </w:p>
          <w:p w14:paraId="21D2BBC6" w14:textId="77777777" w:rsidR="00CD7F5A" w:rsidRPr="00CD7F5A" w:rsidRDefault="00CD7F5A" w:rsidP="00CD7F5A">
            <w:pPr>
              <w:spacing w:before="200" w:after="200"/>
              <w:ind w:right="-75"/>
              <w:rPr>
                <w:rFonts w:ascii="Trebuchet MS" w:hAnsi="Trebuchet MS"/>
                <w:color w:val="000000"/>
                <w:spacing w:val="-3"/>
                <w:sz w:val="22"/>
                <w:szCs w:val="22"/>
              </w:rPr>
            </w:pPr>
            <w:r w:rsidRPr="00CD7F5A">
              <w:rPr>
                <w:rFonts w:ascii="Trebuchet MS" w:hAnsi="Trebuchet MS"/>
                <w:color w:val="000000"/>
                <w:spacing w:val="-3"/>
                <w:sz w:val="22"/>
                <w:szCs w:val="22"/>
              </w:rPr>
              <w:t>We recommend you allow the candidate time to complete the form and review the Ministry of Justice Guidance.</w:t>
            </w:r>
            <w:r>
              <w:rPr>
                <w:rFonts w:ascii="Trebuchet MS" w:hAnsi="Trebuchet MS"/>
                <w:color w:val="000000"/>
                <w:spacing w:val="-3"/>
                <w:sz w:val="22"/>
                <w:szCs w:val="22"/>
              </w:rPr>
              <w:t xml:space="preserve"> </w:t>
            </w:r>
            <w:r w:rsidRPr="00CD7F5A">
              <w:rPr>
                <w:rFonts w:ascii="Trebuchet MS" w:hAnsi="Trebuchet MS"/>
                <w:color w:val="000000"/>
                <w:spacing w:val="-3"/>
                <w:sz w:val="22"/>
                <w:szCs w:val="22"/>
              </w:rPr>
              <w:t xml:space="preserve">We have included the following statement in our Relevant Conviction Form: </w:t>
            </w:r>
          </w:p>
          <w:p w14:paraId="2C7A62F0" w14:textId="77777777" w:rsidR="002E4522" w:rsidRPr="00FE3F0E" w:rsidRDefault="00CD7F5A" w:rsidP="00CD7F5A">
            <w:pPr>
              <w:spacing w:before="200" w:after="200"/>
              <w:ind w:right="-75"/>
              <w:rPr>
                <w:rFonts w:ascii="Trebuchet MS" w:hAnsi="Trebuchet MS"/>
                <w:color w:val="000000"/>
                <w:spacing w:val="1"/>
                <w:sz w:val="22"/>
                <w:szCs w:val="22"/>
              </w:rPr>
            </w:pPr>
            <w:r w:rsidRPr="00CD7F5A">
              <w:rPr>
                <w:rFonts w:ascii="Trebuchet MS" w:hAnsi="Trebuchet MS"/>
                <w:color w:val="000000"/>
                <w:spacing w:val="-3"/>
                <w:sz w:val="22"/>
                <w:szCs w:val="22"/>
              </w:rPr>
              <w:t xml:space="preserve">Before completing this form, it is important that you review the Ministry of Justice Guidance on the rehabilitation of offenders, which can be found here - </w:t>
            </w:r>
            <w:hyperlink r:id="rId10" w:history="1">
              <w:r w:rsidRPr="006140A3">
                <w:rPr>
                  <w:rStyle w:val="Hyperlink"/>
                  <w:rFonts w:ascii="Trebuchet MS" w:hAnsi="Trebuchet MS"/>
                  <w:spacing w:val="-3"/>
                  <w:sz w:val="22"/>
                  <w:szCs w:val="22"/>
                </w:rPr>
                <w:t>https://www.gov.uk/government/publications/new-guidance-on-the-rehabilitation-of-offenders-act-1974</w:t>
              </w:r>
            </w:hyperlink>
            <w:r>
              <w:rPr>
                <w:rFonts w:ascii="Trebuchet MS" w:hAnsi="Trebuchet MS"/>
                <w:color w:val="000000"/>
                <w:spacing w:val="-3"/>
                <w:sz w:val="22"/>
                <w:szCs w:val="22"/>
              </w:rPr>
              <w:t>.</w:t>
            </w:r>
          </w:p>
        </w:tc>
      </w:tr>
      <w:tr w:rsidR="002E4522" w:rsidRPr="00FE3F0E" w14:paraId="4937DB44" w14:textId="77777777" w:rsidTr="00D52910">
        <w:tc>
          <w:tcPr>
            <w:tcW w:w="10140" w:type="dxa"/>
            <w:shd w:val="clear" w:color="auto" w:fill="993366"/>
          </w:tcPr>
          <w:p w14:paraId="1CB43A93" w14:textId="77777777" w:rsidR="002E4522" w:rsidRPr="00FE3F0E" w:rsidRDefault="00CD7F5A" w:rsidP="00042C1D">
            <w:pPr>
              <w:spacing w:before="200" w:after="200"/>
              <w:ind w:right="-75"/>
              <w:rPr>
                <w:rFonts w:ascii="Trebuchet MS" w:hAnsi="Trebuchet MS"/>
                <w:b/>
                <w:color w:val="FFFFFF"/>
                <w:spacing w:val="2"/>
                <w:sz w:val="22"/>
                <w:szCs w:val="22"/>
              </w:rPr>
            </w:pPr>
            <w:r w:rsidRPr="00CD7F5A">
              <w:rPr>
                <w:rFonts w:ascii="Trebuchet MS" w:hAnsi="Trebuchet MS"/>
                <w:b/>
                <w:color w:val="FFFFFF"/>
                <w:spacing w:val="2"/>
                <w:sz w:val="22"/>
                <w:szCs w:val="22"/>
              </w:rPr>
              <w:lastRenderedPageBreak/>
              <w:t>DISCLOSURE OF INFORMATION</w:t>
            </w:r>
          </w:p>
        </w:tc>
      </w:tr>
      <w:tr w:rsidR="00CD7F5A" w:rsidRPr="00FE3F0E" w14:paraId="7A94F18A" w14:textId="77777777" w:rsidTr="00F11924">
        <w:tc>
          <w:tcPr>
            <w:tcW w:w="10140" w:type="dxa"/>
            <w:shd w:val="clear" w:color="auto" w:fill="auto"/>
          </w:tcPr>
          <w:p w14:paraId="7EE38C93" w14:textId="77777777" w:rsidR="00CD7F5A" w:rsidRPr="00FE3F0E" w:rsidRDefault="00CD7F5A" w:rsidP="00CD7F5A">
            <w:pPr>
              <w:spacing w:before="200" w:after="200"/>
              <w:ind w:right="-75"/>
              <w:rPr>
                <w:rFonts w:ascii="Trebuchet MS" w:hAnsi="Trebuchet MS"/>
                <w:color w:val="000000"/>
                <w:spacing w:val="1"/>
                <w:sz w:val="22"/>
                <w:szCs w:val="22"/>
              </w:rPr>
            </w:pPr>
            <w:r w:rsidRPr="00CD7F5A">
              <w:rPr>
                <w:rFonts w:ascii="Trebuchet MS" w:hAnsi="Trebuchet MS"/>
                <w:color w:val="000000"/>
                <w:spacing w:val="-2"/>
                <w:sz w:val="22"/>
                <w:szCs w:val="22"/>
              </w:rPr>
              <w:t>If</w:t>
            </w:r>
            <w:r>
              <w:rPr>
                <w:rFonts w:ascii="Trebuchet MS" w:hAnsi="Trebuchet MS"/>
                <w:color w:val="000000"/>
                <w:spacing w:val="-2"/>
                <w:sz w:val="22"/>
                <w:szCs w:val="22"/>
              </w:rPr>
              <w:t>,</w:t>
            </w:r>
            <w:r w:rsidRPr="00CD7F5A">
              <w:rPr>
                <w:rFonts w:ascii="Trebuchet MS" w:hAnsi="Trebuchet MS"/>
                <w:color w:val="000000"/>
                <w:spacing w:val="-2"/>
                <w:sz w:val="22"/>
                <w:szCs w:val="22"/>
              </w:rPr>
              <w:t xml:space="preserve"> during interview or on completion of the Relevant Conviction Form</w:t>
            </w:r>
            <w:r>
              <w:rPr>
                <w:rFonts w:ascii="Trebuchet MS" w:hAnsi="Trebuchet MS"/>
                <w:color w:val="000000"/>
                <w:spacing w:val="-2"/>
                <w:sz w:val="22"/>
                <w:szCs w:val="22"/>
              </w:rPr>
              <w:t>,</w:t>
            </w:r>
            <w:r w:rsidRPr="00CD7F5A">
              <w:rPr>
                <w:rFonts w:ascii="Trebuchet MS" w:hAnsi="Trebuchet MS"/>
                <w:color w:val="000000"/>
                <w:spacing w:val="-2"/>
                <w:sz w:val="22"/>
                <w:szCs w:val="22"/>
              </w:rPr>
              <w:t xml:space="preserve"> a candidate discloses in error a conviction or caution which you are not entitled to know, you must disregard this information so that it does not influence any appointment decision.</w:t>
            </w:r>
          </w:p>
        </w:tc>
      </w:tr>
      <w:tr w:rsidR="002E4522" w:rsidRPr="00FE3F0E" w14:paraId="7795802E" w14:textId="77777777" w:rsidTr="00D52910">
        <w:tc>
          <w:tcPr>
            <w:tcW w:w="10140" w:type="dxa"/>
            <w:shd w:val="clear" w:color="auto" w:fill="993366"/>
          </w:tcPr>
          <w:p w14:paraId="3F032B00" w14:textId="77777777" w:rsidR="002E4522" w:rsidRPr="00FE3F0E" w:rsidRDefault="00CD7F5A" w:rsidP="00042C1D">
            <w:pPr>
              <w:spacing w:before="200" w:after="200"/>
              <w:ind w:right="-75"/>
              <w:rPr>
                <w:rFonts w:ascii="Trebuchet MS" w:hAnsi="Trebuchet MS"/>
                <w:b/>
                <w:color w:val="FFFFFF"/>
                <w:spacing w:val="2"/>
                <w:sz w:val="22"/>
                <w:szCs w:val="22"/>
              </w:rPr>
            </w:pPr>
            <w:r w:rsidRPr="00CD7F5A">
              <w:rPr>
                <w:rFonts w:ascii="Trebuchet MS" w:hAnsi="Trebuchet MS"/>
                <w:b/>
                <w:color w:val="FFFFFF"/>
                <w:spacing w:val="2"/>
                <w:sz w:val="22"/>
                <w:szCs w:val="22"/>
              </w:rPr>
              <w:t>DECISION TO APPOINT</w:t>
            </w:r>
          </w:p>
        </w:tc>
      </w:tr>
      <w:tr w:rsidR="00CD7F5A" w:rsidRPr="00FE3F0E" w14:paraId="26C4B1F8" w14:textId="77777777" w:rsidTr="00F11924">
        <w:tc>
          <w:tcPr>
            <w:tcW w:w="10140" w:type="dxa"/>
            <w:shd w:val="clear" w:color="auto" w:fill="auto"/>
          </w:tcPr>
          <w:p w14:paraId="3D63551B" w14:textId="77777777" w:rsidR="00CD7F5A" w:rsidRPr="00FE3F0E" w:rsidRDefault="00CD7F5A" w:rsidP="00CD7F5A">
            <w:pPr>
              <w:spacing w:before="200" w:after="200"/>
              <w:ind w:right="-75"/>
              <w:rPr>
                <w:rFonts w:ascii="Trebuchet MS" w:hAnsi="Trebuchet MS"/>
                <w:color w:val="000000"/>
                <w:spacing w:val="-2"/>
                <w:sz w:val="22"/>
                <w:szCs w:val="22"/>
              </w:rPr>
            </w:pPr>
            <w:r w:rsidRPr="00CD7F5A">
              <w:rPr>
                <w:rFonts w:ascii="Trebuchet MS" w:hAnsi="Trebuchet MS"/>
                <w:color w:val="000000"/>
                <w:spacing w:val="-2"/>
                <w:sz w:val="22"/>
                <w:szCs w:val="22"/>
              </w:rPr>
              <w:t>Your standard practice would continue to apply here as there is no requirement to change this as a result of the new filtering rules.</w:t>
            </w:r>
          </w:p>
        </w:tc>
      </w:tr>
      <w:tr w:rsidR="003C0283" w:rsidRPr="00FE3F0E" w14:paraId="1CECE964" w14:textId="77777777" w:rsidTr="00D52910">
        <w:tc>
          <w:tcPr>
            <w:tcW w:w="10140" w:type="dxa"/>
            <w:shd w:val="clear" w:color="auto" w:fill="993366"/>
          </w:tcPr>
          <w:p w14:paraId="62EC43AB" w14:textId="77777777" w:rsidR="003C0283" w:rsidRPr="00FE3F0E" w:rsidRDefault="00CD7F5A" w:rsidP="00042C1D">
            <w:pPr>
              <w:spacing w:before="200" w:after="200"/>
              <w:ind w:right="-75"/>
              <w:rPr>
                <w:rFonts w:ascii="Trebuchet MS" w:hAnsi="Trebuchet MS"/>
                <w:b/>
                <w:color w:val="FFFFFF"/>
                <w:spacing w:val="2"/>
                <w:sz w:val="22"/>
                <w:szCs w:val="22"/>
              </w:rPr>
            </w:pPr>
            <w:r w:rsidRPr="00CD7F5A">
              <w:rPr>
                <w:rFonts w:ascii="Trebuchet MS" w:hAnsi="Trebuchet MS"/>
                <w:b/>
                <w:color w:val="FFFFFF"/>
                <w:spacing w:val="2"/>
                <w:sz w:val="22"/>
                <w:szCs w:val="22"/>
              </w:rPr>
              <w:t>RECRUITMENT POLICY, OFFER LETTER AND CONTRACT</w:t>
            </w:r>
          </w:p>
        </w:tc>
      </w:tr>
      <w:tr w:rsidR="003C0283" w:rsidRPr="00FE3F0E" w14:paraId="053F1462" w14:textId="77777777" w:rsidTr="00042C1D">
        <w:tc>
          <w:tcPr>
            <w:tcW w:w="10140" w:type="dxa"/>
            <w:shd w:val="clear" w:color="auto" w:fill="auto"/>
          </w:tcPr>
          <w:p w14:paraId="47C254E1" w14:textId="77777777" w:rsidR="003C0283" w:rsidRPr="00FE3F0E" w:rsidRDefault="00CD7F5A" w:rsidP="00CD7F5A">
            <w:pPr>
              <w:spacing w:before="200" w:after="200"/>
              <w:ind w:right="-75"/>
              <w:rPr>
                <w:rFonts w:ascii="Trebuchet MS" w:hAnsi="Trebuchet MS"/>
                <w:b/>
                <w:color w:val="000000"/>
                <w:spacing w:val="-2"/>
                <w:sz w:val="22"/>
                <w:szCs w:val="22"/>
              </w:rPr>
            </w:pPr>
            <w:r w:rsidRPr="00CD7F5A">
              <w:rPr>
                <w:rFonts w:ascii="Trebuchet MS" w:hAnsi="Trebuchet MS"/>
                <w:color w:val="000000"/>
                <w:spacing w:val="-2"/>
                <w:sz w:val="22"/>
                <w:szCs w:val="22"/>
              </w:rPr>
              <w:t xml:space="preserve">We also advise that you review your recruitment and selection policy, your offer of employment letter and your contracts of employment to determine if there is any wording that requires updating </w:t>
            </w:r>
            <w:proofErr w:type="gramStart"/>
            <w:r w:rsidRPr="00CD7F5A">
              <w:rPr>
                <w:rFonts w:ascii="Trebuchet MS" w:hAnsi="Trebuchet MS"/>
                <w:color w:val="000000"/>
                <w:spacing w:val="-2"/>
                <w:sz w:val="22"/>
                <w:szCs w:val="22"/>
              </w:rPr>
              <w:t>in light of</w:t>
            </w:r>
            <w:proofErr w:type="gramEnd"/>
            <w:r w:rsidRPr="00CD7F5A">
              <w:rPr>
                <w:rFonts w:ascii="Trebuchet MS" w:hAnsi="Trebuchet MS"/>
                <w:color w:val="000000"/>
                <w:spacing w:val="-2"/>
                <w:sz w:val="22"/>
                <w:szCs w:val="22"/>
              </w:rPr>
              <w:t xml:space="preserve"> the above and as a result of these changes. This will only likely be required if these documents are very specific about what information should and should not be disclosed.</w:t>
            </w:r>
          </w:p>
        </w:tc>
      </w:tr>
    </w:tbl>
    <w:p w14:paraId="5FFDA281" w14:textId="77777777" w:rsidR="004473B3" w:rsidRPr="00FE3F0E" w:rsidRDefault="004473B3" w:rsidP="00905115">
      <w:pPr>
        <w:spacing w:before="200" w:after="200"/>
        <w:ind w:right="-75"/>
        <w:rPr>
          <w:rFonts w:ascii="Trebuchet MS" w:hAnsi="Trebuchet MS"/>
          <w:color w:val="000000"/>
          <w:spacing w:val="2"/>
          <w:sz w:val="22"/>
          <w:szCs w:val="22"/>
        </w:rPr>
        <w:sectPr w:rsidR="004473B3" w:rsidRPr="00FE3F0E" w:rsidSect="002521EC">
          <w:headerReference w:type="even" r:id="rId11"/>
          <w:headerReference w:type="default" r:id="rId12"/>
          <w:footerReference w:type="even" r:id="rId13"/>
          <w:footerReference w:type="default" r:id="rId14"/>
          <w:headerReference w:type="first" r:id="rId15"/>
          <w:footerReference w:type="first" r:id="rId16"/>
          <w:pgSz w:w="11909" w:h="16834"/>
          <w:pgMar w:top="426" w:right="852" w:bottom="720" w:left="1134" w:header="720" w:footer="720" w:gutter="0"/>
          <w:cols w:space="60"/>
          <w:noEndnote/>
        </w:sectPr>
      </w:pPr>
    </w:p>
    <w:p w14:paraId="205023D4" w14:textId="77777777" w:rsidR="004F79A4" w:rsidRPr="00FE3F0E" w:rsidRDefault="004F79A4" w:rsidP="00CD7F5A">
      <w:pPr>
        <w:shd w:val="clear" w:color="auto" w:fill="FFFFFF"/>
        <w:spacing w:before="5"/>
        <w:rPr>
          <w:rFonts w:ascii="Trebuchet MS" w:hAnsi="Trebuchet MS"/>
          <w:sz w:val="22"/>
          <w:szCs w:val="22"/>
        </w:rPr>
      </w:pPr>
    </w:p>
    <w:sectPr w:rsidR="004F79A4" w:rsidRPr="00FE3F0E"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6F456" w14:textId="77777777" w:rsidR="00AA0BBE" w:rsidRDefault="00AA0BBE">
      <w:r>
        <w:separator/>
      </w:r>
    </w:p>
  </w:endnote>
  <w:endnote w:type="continuationSeparator" w:id="0">
    <w:p w14:paraId="4C54A741" w14:textId="77777777" w:rsidR="00AA0BBE" w:rsidRDefault="00AA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iDocIDField76c55e07-629a-43c7-bcd5-b466"/>
  <w:p w14:paraId="7BA36A50" w14:textId="77777777" w:rsidR="007B5C89" w:rsidRDefault="007B5C89">
    <w:pPr>
      <w:pStyle w:val="DocID"/>
    </w:pPr>
    <w:r>
      <w:fldChar w:fldCharType="begin"/>
    </w:r>
    <w:r>
      <w:instrText xml:space="preserve">  DOCPROPERTY "CUS_DocIDChunk0" </w:instrText>
    </w:r>
    <w:r>
      <w:fldChar w:fldCharType="separate"/>
    </w:r>
    <w:r>
      <w:rPr>
        <w:noProof/>
      </w:rPr>
      <w:t>SUPPORT\7119115v1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F98E" w14:textId="5D93BD93" w:rsidR="007B5C89" w:rsidRPr="008471F2" w:rsidRDefault="007B5C89" w:rsidP="008471F2">
    <w:pPr>
      <w:pStyle w:val="Foote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7489" w14:textId="77777777" w:rsidR="007B5C89" w:rsidRPr="000F548B" w:rsidRDefault="007B5C89" w:rsidP="000F548B">
    <w:pPr>
      <w:pStyle w:val="Footer"/>
      <w:rPr>
        <w:sz w:val="16"/>
        <w:szCs w:val="16"/>
      </w:rPr>
    </w:pPr>
    <w:r w:rsidRPr="00B25E6B">
      <w:rPr>
        <w:sz w:val="16"/>
        <w:szCs w:val="16"/>
      </w:rPr>
      <w:t>Part A Application No.</w:t>
    </w:r>
    <w:r w:rsidRPr="00B25E6B">
      <w:rPr>
        <w:sz w:val="16"/>
        <w:szCs w:val="16"/>
      </w:rPr>
      <w:tab/>
      <w:t>For Office Use Only</w:t>
    </w:r>
  </w:p>
  <w:bookmarkStart w:id="2" w:name="_iDocIDField266a33c8-9cbd-4020-80e5-0f3e"/>
  <w:p w14:paraId="2E8B8456" w14:textId="77777777" w:rsidR="007B5C89" w:rsidRDefault="007B5C89">
    <w:pPr>
      <w:pStyle w:val="DocID"/>
    </w:pPr>
    <w:r>
      <w:fldChar w:fldCharType="begin"/>
    </w:r>
    <w:r>
      <w:instrText xml:space="preserve">  DOCPROPERTY "CUS_DocIDChunk0" </w:instrText>
    </w:r>
    <w:r>
      <w:fldChar w:fldCharType="separate"/>
    </w:r>
    <w:r>
      <w:rPr>
        <w:noProof/>
      </w:rPr>
      <w:t>SUPPORT\7119115v1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96C8F" w14:textId="77777777" w:rsidR="00AA0BBE" w:rsidRDefault="00AA0BBE">
      <w:r>
        <w:separator/>
      </w:r>
    </w:p>
  </w:footnote>
  <w:footnote w:type="continuationSeparator" w:id="0">
    <w:p w14:paraId="58EE9D63" w14:textId="77777777" w:rsidR="00AA0BBE" w:rsidRDefault="00AA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98AB" w14:textId="77777777" w:rsidR="00700FF4" w:rsidRDefault="00700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DAE38" w14:textId="77777777" w:rsidR="00700FF4" w:rsidRDefault="00700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5A3E" w14:textId="77777777" w:rsidR="00700FF4" w:rsidRDefault="0070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EE"/>
    <w:rsid w:val="000057FB"/>
    <w:rsid w:val="00011FE9"/>
    <w:rsid w:val="00013A94"/>
    <w:rsid w:val="00026F21"/>
    <w:rsid w:val="000274BA"/>
    <w:rsid w:val="00042C1D"/>
    <w:rsid w:val="00063790"/>
    <w:rsid w:val="00072464"/>
    <w:rsid w:val="000B2EA0"/>
    <w:rsid w:val="000C68B5"/>
    <w:rsid w:val="000D02D7"/>
    <w:rsid w:val="000D6998"/>
    <w:rsid w:val="000E50A6"/>
    <w:rsid w:val="001127FA"/>
    <w:rsid w:val="00117611"/>
    <w:rsid w:val="00121ACD"/>
    <w:rsid w:val="00124EE7"/>
    <w:rsid w:val="00150FAC"/>
    <w:rsid w:val="00161E28"/>
    <w:rsid w:val="0016226D"/>
    <w:rsid w:val="001707E5"/>
    <w:rsid w:val="00171632"/>
    <w:rsid w:val="001760FC"/>
    <w:rsid w:val="00187D37"/>
    <w:rsid w:val="001900E9"/>
    <w:rsid w:val="00195000"/>
    <w:rsid w:val="001A1029"/>
    <w:rsid w:val="001A3BA2"/>
    <w:rsid w:val="001D183D"/>
    <w:rsid w:val="001D6DAE"/>
    <w:rsid w:val="001D7CEB"/>
    <w:rsid w:val="001E7A59"/>
    <w:rsid w:val="001F1F86"/>
    <w:rsid w:val="001F21F6"/>
    <w:rsid w:val="002107F7"/>
    <w:rsid w:val="0021762D"/>
    <w:rsid w:val="00247309"/>
    <w:rsid w:val="00250558"/>
    <w:rsid w:val="002521EC"/>
    <w:rsid w:val="00263B56"/>
    <w:rsid w:val="00270E29"/>
    <w:rsid w:val="00276FC8"/>
    <w:rsid w:val="002C386E"/>
    <w:rsid w:val="002D6755"/>
    <w:rsid w:val="002E0AB2"/>
    <w:rsid w:val="002E4522"/>
    <w:rsid w:val="002F218F"/>
    <w:rsid w:val="002F4D9B"/>
    <w:rsid w:val="00317594"/>
    <w:rsid w:val="0032570F"/>
    <w:rsid w:val="003341F7"/>
    <w:rsid w:val="00337DCB"/>
    <w:rsid w:val="00340821"/>
    <w:rsid w:val="003647A6"/>
    <w:rsid w:val="00373898"/>
    <w:rsid w:val="003755E7"/>
    <w:rsid w:val="00380483"/>
    <w:rsid w:val="003859D7"/>
    <w:rsid w:val="003A11AC"/>
    <w:rsid w:val="003A4272"/>
    <w:rsid w:val="003B264D"/>
    <w:rsid w:val="003B68EE"/>
    <w:rsid w:val="003B7825"/>
    <w:rsid w:val="003C0283"/>
    <w:rsid w:val="003C2958"/>
    <w:rsid w:val="003C2DB2"/>
    <w:rsid w:val="003C7CBB"/>
    <w:rsid w:val="003E7B7B"/>
    <w:rsid w:val="00403AC8"/>
    <w:rsid w:val="004042FA"/>
    <w:rsid w:val="00414E2E"/>
    <w:rsid w:val="004467CA"/>
    <w:rsid w:val="004473B3"/>
    <w:rsid w:val="00471CE7"/>
    <w:rsid w:val="00491E8E"/>
    <w:rsid w:val="004A5480"/>
    <w:rsid w:val="004B7B0F"/>
    <w:rsid w:val="004C3100"/>
    <w:rsid w:val="004C3727"/>
    <w:rsid w:val="004C5044"/>
    <w:rsid w:val="004D0445"/>
    <w:rsid w:val="004D13AE"/>
    <w:rsid w:val="004D6EFA"/>
    <w:rsid w:val="004F79A4"/>
    <w:rsid w:val="00523D98"/>
    <w:rsid w:val="0059572A"/>
    <w:rsid w:val="00596511"/>
    <w:rsid w:val="005B3716"/>
    <w:rsid w:val="005C7B33"/>
    <w:rsid w:val="005C7E94"/>
    <w:rsid w:val="005E608F"/>
    <w:rsid w:val="005F2EFF"/>
    <w:rsid w:val="006101AB"/>
    <w:rsid w:val="00610CA6"/>
    <w:rsid w:val="006426E9"/>
    <w:rsid w:val="00664F1C"/>
    <w:rsid w:val="00675120"/>
    <w:rsid w:val="006A1534"/>
    <w:rsid w:val="006A1ACB"/>
    <w:rsid w:val="006B5254"/>
    <w:rsid w:val="006C5138"/>
    <w:rsid w:val="006C5B32"/>
    <w:rsid w:val="006D09BD"/>
    <w:rsid w:val="006E4312"/>
    <w:rsid w:val="006F3066"/>
    <w:rsid w:val="00700FF4"/>
    <w:rsid w:val="00716338"/>
    <w:rsid w:val="0075685E"/>
    <w:rsid w:val="00760D84"/>
    <w:rsid w:val="007811BA"/>
    <w:rsid w:val="007A66F1"/>
    <w:rsid w:val="007B5C89"/>
    <w:rsid w:val="007B7730"/>
    <w:rsid w:val="007D474B"/>
    <w:rsid w:val="007F2900"/>
    <w:rsid w:val="00824A06"/>
    <w:rsid w:val="008271B0"/>
    <w:rsid w:val="00840694"/>
    <w:rsid w:val="008471F2"/>
    <w:rsid w:val="00852C1B"/>
    <w:rsid w:val="008566BD"/>
    <w:rsid w:val="00874DC6"/>
    <w:rsid w:val="008A51A0"/>
    <w:rsid w:val="008A565D"/>
    <w:rsid w:val="008B0483"/>
    <w:rsid w:val="008E45B3"/>
    <w:rsid w:val="00905115"/>
    <w:rsid w:val="009132E1"/>
    <w:rsid w:val="00916221"/>
    <w:rsid w:val="00924B66"/>
    <w:rsid w:val="0093717B"/>
    <w:rsid w:val="00990736"/>
    <w:rsid w:val="009A6799"/>
    <w:rsid w:val="009B6631"/>
    <w:rsid w:val="009B7BF2"/>
    <w:rsid w:val="00A05BA5"/>
    <w:rsid w:val="00A1316E"/>
    <w:rsid w:val="00A145CE"/>
    <w:rsid w:val="00A44D36"/>
    <w:rsid w:val="00A60E9D"/>
    <w:rsid w:val="00A8315D"/>
    <w:rsid w:val="00A83946"/>
    <w:rsid w:val="00A8515E"/>
    <w:rsid w:val="00AA0BBE"/>
    <w:rsid w:val="00AA5E9B"/>
    <w:rsid w:val="00AB1328"/>
    <w:rsid w:val="00AB2BB1"/>
    <w:rsid w:val="00AC3FE7"/>
    <w:rsid w:val="00AD691A"/>
    <w:rsid w:val="00B04E0C"/>
    <w:rsid w:val="00B05B06"/>
    <w:rsid w:val="00B21CB7"/>
    <w:rsid w:val="00B25E6B"/>
    <w:rsid w:val="00B35A00"/>
    <w:rsid w:val="00B4679A"/>
    <w:rsid w:val="00B50095"/>
    <w:rsid w:val="00B60AEE"/>
    <w:rsid w:val="00B643F3"/>
    <w:rsid w:val="00B666E4"/>
    <w:rsid w:val="00B74CB9"/>
    <w:rsid w:val="00B912EF"/>
    <w:rsid w:val="00BA026A"/>
    <w:rsid w:val="00BE292D"/>
    <w:rsid w:val="00C14730"/>
    <w:rsid w:val="00C16504"/>
    <w:rsid w:val="00C26256"/>
    <w:rsid w:val="00C425D7"/>
    <w:rsid w:val="00C73A62"/>
    <w:rsid w:val="00C76084"/>
    <w:rsid w:val="00C862FA"/>
    <w:rsid w:val="00C86B9A"/>
    <w:rsid w:val="00C91E12"/>
    <w:rsid w:val="00C96FAA"/>
    <w:rsid w:val="00CA5DE3"/>
    <w:rsid w:val="00CA6AA9"/>
    <w:rsid w:val="00CA706E"/>
    <w:rsid w:val="00CC5337"/>
    <w:rsid w:val="00CD7F5A"/>
    <w:rsid w:val="00CF6969"/>
    <w:rsid w:val="00D025EB"/>
    <w:rsid w:val="00D47A84"/>
    <w:rsid w:val="00D52910"/>
    <w:rsid w:val="00D709E2"/>
    <w:rsid w:val="00D81156"/>
    <w:rsid w:val="00D900D8"/>
    <w:rsid w:val="00D97FBA"/>
    <w:rsid w:val="00DB1963"/>
    <w:rsid w:val="00DC1B69"/>
    <w:rsid w:val="00E148A1"/>
    <w:rsid w:val="00E407D2"/>
    <w:rsid w:val="00E67785"/>
    <w:rsid w:val="00E702BD"/>
    <w:rsid w:val="00E745E3"/>
    <w:rsid w:val="00EF3A15"/>
    <w:rsid w:val="00EF47ED"/>
    <w:rsid w:val="00F03D7C"/>
    <w:rsid w:val="00F10409"/>
    <w:rsid w:val="00F11924"/>
    <w:rsid w:val="00F11CF7"/>
    <w:rsid w:val="00F24A49"/>
    <w:rsid w:val="00F26B74"/>
    <w:rsid w:val="00F37B6E"/>
    <w:rsid w:val="00F83E18"/>
    <w:rsid w:val="00F94B18"/>
    <w:rsid w:val="00FC4C21"/>
    <w:rsid w:val="00FE3F0E"/>
    <w:rsid w:val="00FE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66C59"/>
  <w15:chartTrackingRefBased/>
  <w15:docId w15:val="{9C7ECA83-C29A-4455-9164-617D1EEF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lang w:val="en-GB" w:eastAsia="en-GB"/>
    </w:rPr>
  </w:style>
  <w:style w:type="character" w:customStyle="1" w:styleId="DocIDChar">
    <w:name w:val="DocID Char"/>
    <w:link w:val="DocID"/>
    <w:rsid w:val="00247309"/>
    <w:rPr>
      <w:rFonts w:ascii="Trebuchet MS" w:hAnsi="Trebuchet MS"/>
      <w:sz w:val="16"/>
      <w:lang w:val="en-GB" w:eastAsia="en-GB"/>
    </w:rPr>
  </w:style>
  <w:style w:type="character" w:styleId="UnresolvedMention">
    <w:name w:val="Unresolved Mention"/>
    <w:uiPriority w:val="99"/>
    <w:semiHidden/>
    <w:unhideWhenUsed/>
    <w:rsid w:val="00011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139615864">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C7EB7-B1B0-4F35-B743-A4B8C7D5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6001</CharactersWithSpaces>
  <SharedDoc>false</SharedDoc>
  <HLinks>
    <vt:vector size="18" baseType="variant">
      <vt:variant>
        <vt:i4>2752630</vt:i4>
      </vt:variant>
      <vt:variant>
        <vt:i4>6</vt:i4>
      </vt:variant>
      <vt:variant>
        <vt:i4>0</vt:i4>
      </vt:variant>
      <vt:variant>
        <vt:i4>5</vt:i4>
      </vt:variant>
      <vt:variant>
        <vt:lpwstr>https://www.gov.uk/government/publications/new-guidance-on-the-rehabilitation-of-offenders-act-1974</vt:lpwstr>
      </vt:variant>
      <vt:variant>
        <vt:lpwstr/>
      </vt:variant>
      <vt:variant>
        <vt:i4>2752630</vt:i4>
      </vt:variant>
      <vt:variant>
        <vt:i4>3</vt:i4>
      </vt:variant>
      <vt:variant>
        <vt:i4>0</vt:i4>
      </vt:variant>
      <vt:variant>
        <vt:i4>5</vt:i4>
      </vt:variant>
      <vt:variant>
        <vt:lpwstr>https://www.gov.uk/government/publications/new-guidance-on-the-rehabilitation-of-offenders-act-1974</vt:lpwstr>
      </vt:variant>
      <vt:variant>
        <vt:lpwstr/>
      </vt:variant>
      <vt:variant>
        <vt:i4>2752630</vt:i4>
      </vt:variant>
      <vt:variant>
        <vt:i4>0</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Senara Shapland</cp:lastModifiedBy>
  <cp:revision>3</cp:revision>
  <cp:lastPrinted>2012-11-01T13:42:00Z</cp:lastPrinted>
  <dcterms:created xsi:type="dcterms:W3CDTF">2021-02-19T15:55:00Z</dcterms:created>
  <dcterms:modified xsi:type="dcterms:W3CDTF">2021-02-19T15:55:00Z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SUPPORT\7119115v1</vt:lpwstr>
  </property>
  <property fmtid="{D5CDD505-2E9C-101B-9397-08002B2CF9AE}" pid="12" name="CUS_DocIDChunk0">
    <vt:lpwstr>SUPPORT\7119115v1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ies>
</file>